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AVISO DE CONVOCATORIA</w:t>
      </w:r>
    </w:p>
    <w:p>
      <w:pPr>
        <w:spacing w:after="60" w:before="0" w:line="276"/>
        <w:jc w:val="center"/>
      </w:pPr>
      <w:r>
        <w:rPr>
          <w:b/>
          <w:bCs/>
          <w:i w:val="false"/>
          <w:iCs w:val="false"/>
          <w:sz w:val="22"/>
          <w:szCs w:val="22"/>
        </w:rPr>
        <w:t xml:space="preserve">PROCESO DE SELECCIÓN ________ No. ____________</w:t>
      </w:r>
    </w:p>
    <w:p>
      <w:pPr>
        <w:spacing w:after="160" w:before="0" w:line="276"/>
        <w:jc w:val="center"/>
      </w:pPr>
      <w:r>
        <w:rPr>
          <w:b/>
          <w:bCs/>
          <w:i/>
          <w:iCs/>
          <w:sz w:val="22"/>
          <w:szCs w:val="22"/>
        </w:rPr>
        <w:t xml:space="preserve">(Modelo – ajustar de acuerdo con las condiciones establecidas en los pliegos)</w:t>
      </w:r>
    </w:p>
    <w:p>
      <w:pPr>
        <w:spacing w:after="120" w:before="0" w:line="276"/>
        <w:jc w:val="both"/>
      </w:pPr>
      <w:r>
        <w:rPr>
          <w:b w:val="false"/>
          <w:bCs w:val="false"/>
          <w:i w:val="false"/>
          <w:iCs w:val="false"/>
          <w:sz w:val="22"/>
          <w:szCs w:val="22"/>
        </w:rPr>
        <w:t xml:space="preserve">El presente aviso se publica en cumplimiento de lo establecido en el artículo 2.2.1.1.2.1.2 del Decreto 1082 de 2015.</w:t>
      </w:r>
    </w:p>
    <w:p>
      <w:pPr>
        <w:spacing w:after="60" w:before="0" w:line="276"/>
        <w:jc w:val="left"/>
      </w:pPr>
      <w:r>
        <w:rPr>
          <w:b/>
          <w:bCs/>
          <w:i w:val="false"/>
          <w:iCs w:val="false"/>
          <w:sz w:val="22"/>
          <w:szCs w:val="22"/>
        </w:rPr>
        <w:t xml:space="preserve">ENTIDAD CONTRATANTE: </w:t>
      </w:r>
      <w:r>
        <w:rPr>
          <w:b w:val="false"/>
          <w:bCs w:val="false"/>
          <w:i w:val="false"/>
          <w:iCs w:val="false"/>
          <w:sz w:val="22"/>
          <w:szCs w:val="22"/>
        </w:rPr>
        <w:t xml:space="preserve">[NOMBRE DE LA ENTIDAD]</w:t>
      </w:r>
    </w:p>
    <w:p>
      <w:pPr>
        <w:spacing w:after="60" w:before="0" w:line="276"/>
        <w:jc w:val="left"/>
      </w:pPr>
      <w:r>
        <w:rPr>
          <w:b/>
          <w:bCs/>
          <w:i w:val="false"/>
          <w:iCs w:val="false"/>
          <w:sz w:val="22"/>
          <w:szCs w:val="22"/>
        </w:rPr>
        <w:t xml:space="preserve">DIRECCIÓN: </w:t>
      </w:r>
      <w:r>
        <w:rPr>
          <w:b w:val="false"/>
          <w:bCs w:val="false"/>
          <w:i w:val="false"/>
          <w:iCs w:val="false"/>
          <w:sz w:val="22"/>
          <w:szCs w:val="22"/>
        </w:rPr>
        <w:t xml:space="preserve">SECOP II</w:t>
      </w:r>
    </w:p>
    <w:p>
      <w:pPr>
        <w:spacing w:after="100" w:before="0" w:line="276"/>
        <w:jc w:val="left"/>
      </w:pPr>
      <w:r>
        <w:rPr>
          <w:b/>
          <w:bCs/>
          <w:i w:val="false"/>
          <w:iCs w:val="false"/>
          <w:sz w:val="22"/>
          <w:szCs w:val="22"/>
        </w:rPr>
        <w:t xml:space="preserve">CORREO ELECTRÓNICO: </w:t>
      </w:r>
      <w:r>
        <w:rPr>
          <w:b w:val="false"/>
          <w:bCs w:val="false"/>
          <w:i w:val="false"/>
          <w:iCs w:val="false"/>
          <w:sz w:val="22"/>
          <w:szCs w:val="22"/>
        </w:rPr>
        <w:t xml:space="preserve">____________________</w:t>
      </w:r>
    </w:p>
    <w:p>
      <w:pPr>
        <w:spacing w:after="120" w:before="0" w:line="276"/>
        <w:jc w:val="both"/>
      </w:pPr>
      <w:r>
        <w:rPr>
          <w:b w:val="false"/>
          <w:bCs w:val="false"/>
          <w:i w:val="false"/>
          <w:iCs w:val="false"/>
          <w:sz w:val="22"/>
          <w:szCs w:val="22"/>
        </w:rPr>
        <w:t xml:space="preserve">Durante el proceso de selección, la correspondencia y la tramitación de documentación se deberán cargar única y exclusivamente a través de la plataforma del SECOP II.</w:t>
      </w:r>
    </w:p>
    <w:p>
      <w:pPr>
        <w:spacing w:after="100" w:before="0" w:line="276"/>
        <w:jc w:val="left"/>
      </w:pPr>
      <w:r>
        <w:rPr>
          <w:b/>
          <w:bCs/>
          <w:i w:val="false"/>
          <w:iCs w:val="false"/>
          <w:sz w:val="22"/>
          <w:szCs w:val="22"/>
        </w:rPr>
        <w:t xml:space="preserve">OBJETO: </w:t>
      </w:r>
      <w:r>
        <w:rPr>
          <w:b w:val="false"/>
          <w:bCs w:val="false"/>
          <w:i w:val="false"/>
          <w:iCs w:val="false"/>
          <w:sz w:val="22"/>
          <w:szCs w:val="22"/>
        </w:rPr>
        <w:t xml:space="preserve">“_______________________________________”.</w:t>
      </w:r>
    </w:p>
    <w:p>
      <w:pPr>
        <w:spacing w:after="120" w:before="0" w:line="276"/>
        <w:jc w:val="both"/>
      </w:pPr>
      <w:r>
        <w:rPr>
          <w:b/>
          <w:bCs/>
          <w:i w:val="false"/>
          <w:iCs w:val="false"/>
          <w:sz w:val="22"/>
          <w:szCs w:val="22"/>
        </w:rPr>
        <w:t xml:space="preserve">MODALIDAD DE SELECCIÓN DEL CONTRATISTA: </w:t>
      </w:r>
      <w:r>
        <w:rPr>
          <w:b w:val="false"/>
          <w:bCs w:val="false"/>
          <w:i w:val="false"/>
          <w:iCs w:val="false"/>
          <w:sz w:val="22"/>
          <w:szCs w:val="22"/>
        </w:rPr>
        <w:t xml:space="preserve">Selección Abreviada de Menor Cuantía, de conformidad con el numeral 2 del artículo 2 de la Ley 1150 de 2007 y el artículo 2.2.1.2.1.2.20 del Decreto 1082 de 2015.</w:t>
      </w:r>
    </w:p>
    <w:p>
      <w:pPr>
        <w:spacing w:after="100" w:before="0" w:line="276"/>
        <w:jc w:val="left"/>
      </w:pPr>
      <w:r>
        <w:rPr>
          <w:b/>
          <w:bCs/>
          <w:i w:val="false"/>
          <w:iCs w:val="false"/>
          <w:sz w:val="22"/>
          <w:szCs w:val="22"/>
        </w:rPr>
        <w:t xml:space="preserve">PLAZO ESTIMADO DEL CONTRATO: </w:t>
      </w:r>
      <w:r>
        <w:rPr>
          <w:b w:val="false"/>
          <w:bCs w:val="false"/>
          <w:i w:val="false"/>
          <w:iCs w:val="false"/>
          <w:sz w:val="22"/>
          <w:szCs w:val="22"/>
        </w:rPr>
        <w:t xml:space="preserve">____________________</w:t>
      </w:r>
    </w:p>
    <w:p>
      <w:pPr>
        <w:spacing w:after="60" w:before="0" w:line="276"/>
        <w:jc w:val="left"/>
      </w:pPr>
      <w:r>
        <w:rPr>
          <w:b/>
          <w:bCs/>
          <w:i w:val="false"/>
          <w:iCs w:val="false"/>
          <w:sz w:val="22"/>
          <w:szCs w:val="22"/>
        </w:rPr>
        <w:t xml:space="preserve">FECHA LÍMITE PARA LA PRESENTACIÓN DE LA OFERTA: </w:t>
      </w:r>
    </w:p>
    <w:p>
      <w:pPr>
        <w:spacing w:after="120" w:before="0" w:line="276"/>
        <w:jc w:val="both"/>
      </w:pPr>
      <w:r>
        <w:rPr>
          <w:b w:val="false"/>
          <w:bCs w:val="false"/>
          <w:i w:val="false"/>
          <w:iCs w:val="false"/>
          <w:sz w:val="22"/>
          <w:szCs w:val="22"/>
        </w:rPr>
        <w:t xml:space="preserve">[NOMBRE DE LA ENTIDAD] ha fijado como fecha y hora límite para la presentación de la propuesta económica y los demás documentos habilitantes solicitados la indicada en el cronograma del presente proceso de selección, establecido en el SECOP II.</w:t>
      </w:r>
    </w:p>
    <w:p>
      <w:pPr>
        <w:spacing w:after="60" w:before="0" w:line="276"/>
        <w:jc w:val="left"/>
      </w:pPr>
      <w:r>
        <w:rPr>
          <w:b/>
          <w:bCs/>
          <w:i w:val="false"/>
          <w:iCs w:val="false"/>
          <w:sz w:val="22"/>
          <w:szCs w:val="22"/>
        </w:rPr>
        <w:t xml:space="preserve">FORMA DE PRESENTACIÓN DE LA OFERTA: </w:t>
      </w:r>
    </w:p>
    <w:p>
      <w:pPr>
        <w:spacing w:after="120" w:before="0" w:line="276"/>
        <w:jc w:val="both"/>
      </w:pPr>
      <w:r>
        <w:rPr>
          <w:b w:val="false"/>
          <w:bCs w:val="false"/>
          <w:i w:val="false"/>
          <w:iCs w:val="false"/>
          <w:sz w:val="22"/>
          <w:szCs w:val="22"/>
        </w:rPr>
        <w:t xml:space="preserve">Las propuestas se recibirán única y exclusivamente a través de la plataforma del SECOP II, desde la fecha de apertura y hasta el último día y hora indicada en el cronograma del presente proceso.</w:t>
      </w:r>
    </w:p>
    <w:p>
      <w:pPr>
        <w:spacing w:after="120" w:before="0" w:line="276"/>
        <w:jc w:val="both"/>
      </w:pPr>
      <w:r>
        <w:rPr>
          <w:b w:val="false"/>
          <w:bCs w:val="false"/>
          <w:i w:val="false"/>
          <w:iCs w:val="false"/>
          <w:sz w:val="22"/>
          <w:szCs w:val="22"/>
        </w:rPr>
        <w:t xml:space="preserve">Las propuestas deben ser cargadas únicamente en el portal del Sistema Electrónico de la Contratación Pública SECOP II, so pena de ser rechazadas. Será de responsabilidad exclusiva del interesado en participar en el proceso capacitarse en el manejo de la plataforma del SECOP II y, por lo tanto, será el responsable del correcto diligenciamiento en cada una de las etapas del proceso, de conformidad con el manual de uso para proveedores de Colombia Compra Eficiente. Así las cosas, si el interesado en participar suministra y carga la información por algún canal erróneo de la herramienta, se tendrá por no recibida su propuesta.</w:t>
      </w:r>
    </w:p>
    <w:p>
      <w:pPr>
        <w:spacing w:after="60" w:before="0" w:line="276"/>
        <w:jc w:val="left"/>
      </w:pPr>
      <w:r>
        <w:rPr>
          <w:b/>
          <w:bCs/>
          <w:i w:val="false"/>
          <w:iCs w:val="false"/>
          <w:sz w:val="22"/>
          <w:szCs w:val="22"/>
        </w:rPr>
        <w:t xml:space="preserve">VALOR ESTIMADO DEL CONTRATO: </w:t>
      </w:r>
      <w:r>
        <w:rPr>
          <w:b w:val="false"/>
          <w:bCs w:val="false"/>
          <w:i w:val="false"/>
          <w:iCs w:val="false"/>
          <w:sz w:val="22"/>
          <w:szCs w:val="22"/>
        </w:rPr>
        <w:t xml:space="preserve">____________________</w:t>
      </w:r>
    </w:p>
    <w:p>
      <w:pPr>
        <w:spacing w:after="120" w:before="0" w:line="276"/>
        <w:jc w:val="both"/>
      </w:pPr>
      <w:r>
        <w:rPr>
          <w:b w:val="false"/>
          <w:bCs w:val="false"/>
          <w:i w:val="false"/>
          <w:iCs w:val="false"/>
          <w:sz w:val="22"/>
          <w:szCs w:val="22"/>
        </w:rPr>
        <w:t xml:space="preserve">Valor en el cual se entiende incluido el valor de los impuestos de ley, IVA y demás tributos que se causen por el hecho de su celebración, ejecución y liquidación.</w:t>
      </w:r>
    </w:p>
    <w:p>
      <w:pPr>
        <w:spacing w:after="60" w:before="0" w:line="276"/>
        <w:jc w:val="left"/>
      </w:pPr>
      <w:r>
        <w:rPr>
          <w:b/>
          <w:bCs/>
          <w:i w:val="false"/>
          <w:iCs w:val="false"/>
          <w:sz w:val="22"/>
          <w:szCs w:val="22"/>
        </w:rPr>
        <w:t xml:space="preserve">DISPONIBILIDAD PRESUPUESTAL: </w:t>
      </w:r>
    </w:p>
    <w:p>
      <w:pPr>
        <w:spacing w:after="120" w:before="0" w:line="276"/>
        <w:jc w:val="both"/>
      </w:pPr>
      <w:r>
        <w:rPr>
          <w:b w:val="false"/>
          <w:bCs w:val="false"/>
          <w:i w:val="false"/>
          <w:iCs w:val="false"/>
          <w:sz w:val="22"/>
          <w:szCs w:val="22"/>
        </w:rPr>
        <w:t xml:space="preserve">Se ha estimado, para el desarrollo del presente proceso de selección, un presupuesto total de hasta ____________________ incluido IVA, de conformidad con el Certificado de Disponibilidad Presupuestal (CDP).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360"/>
        <w:gridCol w:w="6000"/>
      </w:tblGrid>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CDP No.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RUBRO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CENTRO DE COSTO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FONDO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PROYECTO</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PLAN</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LÍNEA ESTRATÉGICA</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SECTOR</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PROGRAMA</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ACTIVIDAD</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INSUMOS</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COMPONENTE</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r>
        <w:tc>
          <w:tcPr>
            <w:tcW w:type="dxa" w:w="3360"/>
            <w:tcBorders>
              <w:top w:val="single" w:color="000000" w:sz="4"/>
              <w:left w:val="single" w:color="000000" w:sz="4"/>
              <w:bottom w:val="single" w:color="000000" w:sz="4"/>
              <w:right w:val="single" w:color="000000" w:sz="4"/>
            </w:tcBorders>
            <w:shd w:fill="F2F2F2" w:color="auto" w:val="clear"/>
            <w:tcMar>
              <w:top w:type="dxa" w:w="60"/>
              <w:left w:type="dxa" w:w="90"/>
              <w:bottom w:type="dxa" w:w="60"/>
              <w:right w:type="dxa" w:w="90"/>
            </w:tcMar>
            <w:vAlign w:val="center"/>
          </w:tcPr>
          <w:p>
            <w:pPr>
              <w:spacing w:after="0" w:line="240"/>
              <w:jc w:val="left"/>
            </w:pPr>
            <w:r>
              <w:rPr>
                <w:b/>
                <w:bCs/>
                <w:i w:val="false"/>
                <w:iCs w:val="false"/>
                <w:sz w:val="16"/>
                <w:szCs w:val="16"/>
              </w:rPr>
              <w:t xml:space="preserve">VALOR</w:t>
            </w:r>
          </w:p>
        </w:tc>
        <w:tc>
          <w:tcPr>
            <w:tcW w:type="dxa" w:w="60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
            </w:r>
          </w:p>
        </w:tc>
      </w:tr>
    </w:tbl>
    <w:p>
      <w:pPr>
        <w:spacing w:after="120"/>
      </w:pPr>
      <w:r>
        <w:rPr>
          <w:sz w:val="22"/>
          <w:szCs w:val="22"/>
        </w:rPr>
        <w:t xml:space="preserve"/>
      </w:r>
    </w:p>
    <w:p>
      <w:pPr>
        <w:spacing w:after="100" w:before="0" w:line="276"/>
        <w:jc w:val="left"/>
      </w:pPr>
      <w:r>
        <w:rPr>
          <w:b/>
          <w:bCs/>
          <w:i w:val="false"/>
          <w:iCs w:val="false"/>
          <w:sz w:val="22"/>
          <w:szCs w:val="22"/>
        </w:rPr>
        <w:t xml:space="preserve">ANÁLISIS SOBRE SI LA CONTRATACIÓN ESTÁ COBIJADA POR ACUERDOS COMERCIALES:</w:t>
      </w:r>
    </w:p>
    <w:p>
      <w:pPr>
        <w:spacing w:after="120" w:before="0" w:line="276"/>
        <w:jc w:val="both"/>
      </w:pPr>
      <w:r>
        <w:rPr>
          <w:b w:val="false"/>
          <w:bCs w:val="false"/>
          <w:i w:val="false"/>
          <w:iCs w:val="false"/>
          <w:sz w:val="22"/>
          <w:szCs w:val="22"/>
        </w:rPr>
        <w:t xml:space="preserve">Los acuerdos comerciales son tratados internacionales vigentes celebrados por el Estado colombiano que contienen derechos y obligaciones en materia de compras públicas, en los cuales existe como mínimo el compromiso de trato nacional para los proponentes, bienes y servicios de origen extranjero.</w:t>
      </w:r>
    </w:p>
    <w:p>
      <w:pPr>
        <w:spacing w:after="120" w:before="0" w:line="276"/>
        <w:jc w:val="both"/>
      </w:pPr>
      <w:r>
        <w:rPr>
          <w:b w:val="false"/>
          <w:bCs w:val="false"/>
          <w:i w:val="false"/>
          <w:iCs w:val="false"/>
          <w:sz w:val="22"/>
          <w:szCs w:val="22"/>
        </w:rPr>
        <w:t xml:space="preserve">Las entidades estatales deben cumplir las obligaciones del Estado colombiano incluidas en los acuerdos comerciales. Los proponentes nacionales y extranjeros tienen el derecho a exigir la correcta aplicación de los acuerdos comerciales cuando estos son aplicables a los procesos de contratación. Adicionalmente, cualquier persona puede exigir el cumplimiento de los acuerdos comerciales, pues estos son leyes de la República.</w:t>
      </w:r>
    </w:p>
    <w:p>
      <w:pPr>
        <w:spacing w:after="120" w:before="0" w:line="276"/>
        <w:jc w:val="both"/>
      </w:pPr>
      <w:r>
        <w:rPr>
          <w:b w:val="false"/>
          <w:bCs w:val="false"/>
          <w:i w:val="false"/>
          <w:iCs w:val="false"/>
          <w:sz w:val="22"/>
          <w:szCs w:val="22"/>
        </w:rPr>
        <w:t xml:space="preserve">El contenido de cada acuerdo comercial es único. Sin embargo, generalmente estos contienen un capítulo que señala los derechos y obligaciones en materia de compras públicas y anexos para determinar si un acuerdo comercial es aplicable a los diferentes procesos de contratación. En este contexto, se analizan los siguientes: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900"/>
        <w:gridCol w:w="760"/>
        <w:gridCol w:w="1400"/>
        <w:gridCol w:w="1300"/>
        <w:gridCol w:w="1200"/>
        <w:gridCol w:w="1300"/>
        <w:gridCol w:w="1500"/>
      </w:tblGrid>
      <w:tr>
        <w:tc>
          <w:tcPr>
            <w:tcW w:type="dxa" w:w="9360"/>
            <w:gridSpan w:val="7"/>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VALORES A PARTIR DE LOS CUALES SON APLICABLES LOS ACUERDOS COMERCIALES</w:t>
            </w:r>
          </w:p>
        </w:tc>
      </w:tr>
      <w:tr>
        <w:trPr>
          <w:tblHeader/>
        </w:trPr>
        <w:tc>
          <w:tcPr>
            <w:tcW w:type="dxa" w:w="19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ACUERDO COMERCIAL</w:t>
            </w:r>
          </w:p>
        </w:tc>
        <w:tc>
          <w:tcPr>
            <w:tcW w:type="dxa" w:w="76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VIGENTE</w:t>
            </w:r>
          </w:p>
        </w:tc>
        <w:tc>
          <w:tcPr>
            <w:tcW w:type="dxa" w:w="14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ENTIDAD ESTATAL CUBIERTA</w:t>
            </w:r>
          </w:p>
        </w:tc>
        <w:tc>
          <w:tcPr>
            <w:tcW w:type="dxa" w:w="13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UMBRAL</w:t>
            </w:r>
          </w:p>
        </w:tc>
        <w:tc>
          <w:tcPr>
            <w:tcW w:type="dxa" w:w="12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VALOR DEL PROCESO SUPERIOR AL UMBRAL</w:t>
            </w:r>
          </w:p>
        </w:tc>
        <w:tc>
          <w:tcPr>
            <w:tcW w:type="dxa" w:w="13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EXCEPCIÓN APLICABLE</w:t>
            </w:r>
          </w:p>
        </w:tc>
        <w:tc>
          <w:tcPr>
            <w:tcW w:type="dxa" w:w="1500"/>
            <w:tcBorders>
              <w:top w:val="single" w:color="000000" w:sz="4"/>
              <w:left w:val="single" w:color="000000" w:sz="4"/>
              <w:bottom w:val="single" w:color="000000" w:sz="4"/>
              <w:right w:val="single" w:color="000000" w:sz="4"/>
            </w:tcBorders>
            <w:shd w:fill="D9D9D9" w:color="auto" w:val="clear"/>
            <w:tcMar>
              <w:top w:type="dxa" w:w="60"/>
              <w:left w:type="dxa" w:w="90"/>
              <w:bottom w:type="dxa" w:w="60"/>
              <w:right w:type="dxa" w:w="90"/>
            </w:tcMar>
            <w:vAlign w:val="center"/>
          </w:tcPr>
          <w:p>
            <w:pPr>
              <w:spacing w:after="0" w:line="240"/>
              <w:jc w:val="center"/>
            </w:pPr>
            <w:r>
              <w:rPr>
                <w:b/>
                <w:bCs/>
                <w:i w:val="false"/>
                <w:iCs w:val="false"/>
                <w:sz w:val="16"/>
                <w:szCs w:val="16"/>
              </w:rPr>
              <w:t xml:space="preserve">PROCESO CUBIERTO POR EL ACUERDO</w:t>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Alianza Pacífico (Chile, Perú, México)</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Canadá</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Chile</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Corea</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Estados AELC (Islandia, Noruega, Liechtenstein y Suiza)</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México</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Estados Unidos</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Costa Rica</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Triángulo Norte (El Salvador, Guatemala, Honduras)</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Unión Europea</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Israel</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r>
        <w:tc>
          <w:tcPr>
            <w:tcW w:type="dxa" w:w="19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left"/>
            </w:pPr>
            <w:r>
              <w:rPr>
                <w:b w:val="false"/>
                <w:bCs w:val="false"/>
                <w:i w:val="false"/>
                <w:iCs w:val="false"/>
                <w:sz w:val="16"/>
                <w:szCs w:val="16"/>
              </w:rPr>
              <w:t xml:space="preserve">Reino Unido e Irlanda del Norte</w:t>
            </w:r>
          </w:p>
        </w:tc>
        <w:tc>
          <w:tcPr>
            <w:tcW w:type="dxa" w:w="76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4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2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3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c>
          <w:tcPr>
            <w:tcW w:type="dxa" w:w="1500"/>
            <w:tcBorders>
              <w:top w:val="single" w:color="000000" w:sz="4"/>
              <w:left w:val="single" w:color="000000" w:sz="4"/>
              <w:bottom w:val="single" w:color="000000" w:sz="4"/>
              <w:right w:val="single" w:color="000000" w:sz="4"/>
            </w:tcBorders>
            <w:tcMar>
              <w:top w:type="dxa" w:w="60"/>
              <w:left w:type="dxa" w:w="90"/>
              <w:bottom w:type="dxa" w:w="60"/>
              <w:right w:type="dxa" w:w="90"/>
            </w:tcMar>
            <w:vAlign w:val="center"/>
          </w:tcPr>
          <w:p>
            <w:pPr>
              <w:spacing w:after="0" w:line="240"/>
              <w:jc w:val="center"/>
            </w:pPr>
            <w:r>
              <w:rPr>
                <w:b w:val="false"/>
                <w:bCs w:val="false"/>
                <w:i w:val="false"/>
                <w:iCs w:val="false"/>
                <w:sz w:val="16"/>
                <w:szCs w:val="16"/>
              </w:rPr>
              <w:t xml:space="preserve"/>
            </w:r>
          </w:p>
        </w:tc>
      </w:tr>
    </w:tbl>
    <w:p>
      <w:pPr>
        <w:spacing w:after="100" w:before="0" w:line="276"/>
        <w:jc w:val="both"/>
      </w:pPr>
      <w:r>
        <w:rPr>
          <w:b w:val="false"/>
          <w:bCs w:val="false"/>
          <w:i w:val="false"/>
          <w:iCs w:val="false"/>
          <w:sz w:val="16"/>
          <w:szCs w:val="16"/>
        </w:rPr>
        <w:t xml:space="preserve">Nota: la entidad deberá diligenciar la tabla anterior con los umbrales vigentes publicados por Colombia Compra Eficiente y el Ministerio de Comercio, Industria y Turismo para la respectiva vigencia, y determinar, según el valor del proceso, si la contratación se encuentra cobijada por alguno de los acuerdos comerciales, de conformidad con los artículos 2.2.1.2.4.1.1 y siguientes del Decreto 1082 de 2015 y el Manual para el manejo de acuerdos comerciales en procesos de contratación de Colombia Compra Eficiente.</w:t>
      </w:r>
    </w:p>
    <w:p>
      <w:pPr>
        <w:spacing w:after="120" w:before="0" w:line="276"/>
        <w:jc w:val="both"/>
      </w:pPr>
      <w:r>
        <w:rPr>
          <w:b w:val="false"/>
          <w:bCs w:val="false"/>
          <w:i w:val="false"/>
          <w:iCs w:val="false"/>
          <w:sz w:val="22"/>
          <w:szCs w:val="22"/>
        </w:rPr>
        <w:t xml:space="preserve">No es procedente conceder trato nacional a los bienes y servicios provenientes de los países con los cuales no hay acuerdos internacionales o tratados de libre comercio, ofrecidos en los procesos de contratación pública, en virtud del principio de reciprocidad.</w:t>
      </w:r>
    </w:p>
    <w:p>
      <w:pPr>
        <w:spacing w:after="60"/>
      </w:pPr>
      <w:r>
        <w:rPr>
          <w:sz w:val="22"/>
          <w:szCs w:val="22"/>
        </w:rPr>
        <w:t xml:space="preserve"/>
      </w:r>
    </w:p>
    <w:p>
      <w:pPr>
        <w:spacing w:after="100" w:before="0" w:line="276"/>
        <w:jc w:val="left"/>
      </w:pPr>
      <w:r>
        <w:rPr>
          <w:b/>
          <w:bCs/>
          <w:i w:val="false"/>
          <w:iCs w:val="false"/>
          <w:sz w:val="22"/>
          <w:szCs w:val="22"/>
        </w:rPr>
        <w:t xml:space="preserve">CONVOCATORIA SUSCEPTIBLE DE SER LIMITADA A MIPYMES:</w:t>
      </w:r>
    </w:p>
    <w:p>
      <w:pPr>
        <w:spacing w:after="120" w:before="0" w:line="276"/>
        <w:jc w:val="both"/>
      </w:pPr>
      <w:r>
        <w:rPr>
          <w:b w:val="false"/>
          <w:bCs w:val="false"/>
          <w:i w:val="false"/>
          <w:iCs w:val="false"/>
          <w:sz w:val="22"/>
          <w:szCs w:val="22"/>
        </w:rPr>
        <w:t xml:space="preserve">La presente convocatoria SÍ / NO es susceptible de ser limitada a Mipymes, de acuerdo con lo previsto por los artículos 2.2.1.2.4.2.2 y 2.2.1.2.4.2.3 del Decreto 1082 de 2015. La limitación procederá cuando concurran los siguientes requisitos: (1) que el valor del proceso de contratación sea menor a ciento veinticinco mil dólares de los Estados Unidos de América (USD 125.000), liquidados con la tasa de cambio que para el efecto determina cada dos (2) años el Ministerio de Comercio, Industria y Turismo; y (2) que la entidad estatal haya recibido solicitudes de por lo menos dos (2) Mipymes colombianas, con mínimo un (1) año de existencia, para limitar la convocatoria, por lo menos un (1) día hábil antes de la apertura del proceso de contratación. La entidad deberá verificar el valor del umbral en pesos vigente para la respectiva anualidad.</w:t>
      </w:r>
    </w:p>
    <w:p>
      <w:pPr>
        <w:spacing w:after="120" w:before="0" w:line="276"/>
        <w:jc w:val="both"/>
      </w:pPr>
      <w:r>
        <w:rPr>
          <w:b/>
          <w:bCs/>
          <w:i w:val="false"/>
          <w:iCs w:val="false"/>
          <w:sz w:val="22"/>
          <w:szCs w:val="22"/>
        </w:rPr>
        <w:t xml:space="preserve">ENUMERACIÓN Y BREVE DESCRIPCIÓN DE LAS CONDICIONES GENERALES PARA PARTICIPAR EN EL PROCESO: </w:t>
      </w:r>
      <w:r>
        <w:rPr>
          <w:b w:val="false"/>
          <w:bCs w:val="false"/>
          <w:i w:val="false"/>
          <w:iCs w:val="false"/>
          <w:sz w:val="22"/>
          <w:szCs w:val="22"/>
        </w:rPr>
        <w:t xml:space="preserve">____________________</w:t>
      </w:r>
    </w:p>
    <w:p>
      <w:pPr>
        <w:spacing w:after="120" w:before="0" w:line="276"/>
        <w:jc w:val="both"/>
      </w:pPr>
      <w:r>
        <w:rPr>
          <w:b/>
          <w:bCs/>
          <w:i w:val="false"/>
          <w:iCs w:val="false"/>
          <w:sz w:val="22"/>
          <w:szCs w:val="22"/>
        </w:rPr>
        <w:t xml:space="preserve">INDICACIÓN SOBRE SI EN EL PROCESO HAY LUGAR A PRECALIFICACIÓN: </w:t>
      </w:r>
      <w:r>
        <w:rPr>
          <w:b w:val="false"/>
          <w:bCs w:val="false"/>
          <w:i w:val="false"/>
          <w:iCs w:val="false"/>
          <w:sz w:val="22"/>
          <w:szCs w:val="22"/>
        </w:rPr>
        <w:t xml:space="preserve">Para el presente proceso de selección no hay lugar a precalificación.</w:t>
      </w:r>
    </w:p>
    <w:p>
      <w:pPr>
        <w:spacing w:after="120" w:before="0" w:line="276"/>
        <w:jc w:val="both"/>
      </w:pPr>
      <w:r>
        <w:rPr>
          <w:b/>
          <w:bCs/>
          <w:i w:val="false"/>
          <w:iCs w:val="false"/>
          <w:sz w:val="22"/>
          <w:szCs w:val="22"/>
        </w:rPr>
        <w:t xml:space="preserve">CRONOGRAMA: </w:t>
      </w:r>
      <w:r>
        <w:rPr>
          <w:b w:val="false"/>
          <w:bCs w:val="false"/>
          <w:i w:val="false"/>
          <w:iCs w:val="false"/>
          <w:sz w:val="22"/>
          <w:szCs w:val="22"/>
        </w:rPr>
        <w:t xml:space="preserve">El presente proceso de contratación se adelantará con arreglo al cronograma previsto a través del portal único de contratación www.colombiacompra.gov.co, en el Sistema Electrónico para la Contratación Pública (SECOP II).</w:t>
      </w:r>
    </w:p>
    <w:p>
      <w:pPr>
        <w:spacing w:after="120" w:before="0" w:line="276"/>
        <w:jc w:val="both"/>
      </w:pPr>
      <w:r>
        <w:rPr>
          <w:b/>
          <w:bCs/>
          <w:i w:val="false"/>
          <w:iCs w:val="false"/>
          <w:sz w:val="22"/>
          <w:szCs w:val="22"/>
        </w:rPr>
        <w:t xml:space="preserve">LUGAR DE CONSULTA: </w:t>
      </w:r>
      <w:r>
        <w:rPr>
          <w:b w:val="false"/>
          <w:bCs w:val="false"/>
          <w:i w:val="false"/>
          <w:iCs w:val="false"/>
          <w:sz w:val="22"/>
          <w:szCs w:val="22"/>
        </w:rPr>
        <w:t xml:space="preserve">Todos los documentos que forman parte del proceso de selección estarán a disposición de los interesados en la plataforma transaccional de contratación pública SECOP II, página web www.colombiacompra.gov.co.</w:t>
      </w:r>
    </w:p>
    <w:p>
      <w:pPr>
        <w:spacing w:after="120" w:before="0" w:line="276"/>
        <w:jc w:val="both"/>
      </w:pPr>
      <w:r>
        <w:rPr>
          <w:b/>
          <w:bCs/>
          <w:i w:val="false"/>
          <w:iCs w:val="false"/>
          <w:sz w:val="22"/>
          <w:szCs w:val="22"/>
        </w:rPr>
        <w:t xml:space="preserve">CONVOCATORIA A VEEDURÍAS: </w:t>
      </w:r>
      <w:r>
        <w:rPr>
          <w:b w:val="false"/>
          <w:bCs w:val="false"/>
          <w:i w:val="false"/>
          <w:iCs w:val="false"/>
          <w:sz w:val="22"/>
          <w:szCs w:val="22"/>
        </w:rPr>
        <w:t xml:space="preserve">De conformidad con el artículo 66 de la Ley 80 de 1993 y la Ley 850 de 2003, se convoca a todas las veedurías ciudadanas para realizar control social en el presente proceso de contratación. Con este fin, podrán consultarse en el portal único de contratación www.colombiacompra.gov.co todos los documentos que se suscriban para estos efectos, incluyendo los estudios previos, la convocatoria, el proyecto de pliegos, los pliegos, las adendas y todas las actas de las audiencias que se celebren.</w:t>
      </w:r>
    </w:p>
    <w:p>
      <w:pPr>
        <w:spacing w:after="120" w:before="0" w:line="276"/>
        <w:jc w:val="both"/>
      </w:pPr>
      <w:r>
        <w:rPr>
          <w:b/>
          <w:bCs/>
          <w:i w:val="false"/>
          <w:iCs w:val="false"/>
          <w:sz w:val="22"/>
          <w:szCs w:val="22"/>
        </w:rPr>
        <w:t xml:space="preserve">PROGRAMA ESPECIAL DE LUCHA CONTRA LA CORRUPCIÓN: </w:t>
      </w:r>
      <w:r>
        <w:rPr>
          <w:b w:val="false"/>
          <w:bCs w:val="false"/>
          <w:i w:val="false"/>
          <w:iCs w:val="false"/>
          <w:sz w:val="22"/>
          <w:szCs w:val="22"/>
        </w:rPr>
        <w:t xml:space="preserve">Toda persona que llegue a conocer casos de corrupción en las entidades del Estado debe reportar el hecho a la Secretaría de Transparencia de la Presidencia de la República, a través de los canales dispuestos para tal fin, o a través de la página www.colombiacompra.gov.co.</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2026-06-03T15:41:49.889Z</dcterms:created>
  <dcterms:modified xsi:type="dcterms:W3CDTF">2026-06-03T15:41:49.889Z</dcterms:modified>
</cp:coreProperties>
</file>

<file path=docProps/custom.xml><?xml version="1.0" encoding="utf-8"?>
<Properties xmlns="http://schemas.openxmlformats.org/officeDocument/2006/custom-properties" xmlns:vt="http://schemas.openxmlformats.org/officeDocument/2006/docPropsVTypes"/>
</file>